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Calibri"/>
          <w:b/>
          <w:bCs/>
          <w:sz w:val="24"/>
          <w:szCs w:val="24"/>
          <w:u w:val="single"/>
          <w:lang w:eastAsia="en-US"/>
        </w:rPr>
      </w:pPr>
      <w:r>
        <w:rPr>
          <w:rFonts w:eastAsia="Calibri"/>
          <w:b/>
          <w:bCs/>
          <w:sz w:val="24"/>
          <w:szCs w:val="24"/>
          <w:u w:val="single"/>
          <w:lang w:eastAsia="en-US"/>
        </w:rPr>
        <w:t xml:space="preserve">Администрация Университетской клиники оставляет за собой право в </w:t>
      </w:r>
      <w:r>
        <w:rPr>
          <w:rFonts w:eastAsia="Calibri"/>
          <w:b/>
          <w:bCs/>
          <w:sz w:val="32"/>
          <w:szCs w:val="32"/>
          <w:u w:val="single"/>
          <w:lang w:eastAsia="en-US"/>
        </w:rPr>
        <w:t xml:space="preserve">отказе от госпитализации </w:t>
      </w:r>
      <w:r>
        <w:rPr>
          <w:rFonts w:eastAsia="Calibri"/>
          <w:b/>
          <w:bCs/>
          <w:sz w:val="24"/>
          <w:szCs w:val="24"/>
          <w:u w:val="single"/>
          <w:lang w:eastAsia="en-US"/>
        </w:rPr>
        <w:t>при невыполнении требований настоящего ПЕРЕЧНЯ).</w:t>
      </w:r>
    </w:p>
    <w:p>
      <w:pPr>
        <w:pStyle w:val="Normal"/>
        <w:ind w:firstLine="567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</w:r>
    </w:p>
    <w:p>
      <w:pPr>
        <w:pStyle w:val="Normal"/>
        <w:ind w:firstLine="567"/>
        <w:jc w:val="center"/>
        <w:rPr>
          <w:b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ПЕРЕЧЕНЬ документов и обследований, необходимых для госпитализации ВЗРОСЛЫХ</w:t>
      </w:r>
      <w:r>
        <w:rPr>
          <w:rFonts w:eastAsia="Calibri" w:ascii="Calibri" w:hAnsi="Calibri"/>
          <w:b/>
          <w:bCs/>
          <w:sz w:val="24"/>
          <w:szCs w:val="24"/>
          <w:lang w:eastAsia="en-US"/>
        </w:rPr>
        <w:t xml:space="preserve"> </w:t>
      </w:r>
      <w:r>
        <w:rPr>
          <w:rFonts w:eastAsia="Calibri"/>
          <w:b/>
          <w:bCs/>
          <w:sz w:val="24"/>
          <w:szCs w:val="24"/>
          <w:lang w:eastAsia="en-US"/>
        </w:rPr>
        <w:t>на КОНСЕРВАТИВНОЕ ЛЕЧЕНИЕ и РЕАБИЛИТАЦИЮ в Университетскую клинику</w:t>
      </w:r>
      <w:r>
        <w:rPr>
          <w:rFonts w:eastAsia="Calibri" w:ascii="Calibri" w:hAnsi="Calibri"/>
          <w:b/>
          <w:bCs/>
          <w:sz w:val="24"/>
          <w:szCs w:val="24"/>
          <w:lang w:eastAsia="en-US"/>
        </w:rPr>
        <w:t xml:space="preserve"> </w:t>
      </w:r>
      <w:r>
        <w:rPr>
          <w:b/>
          <w:sz w:val="24"/>
          <w:szCs w:val="24"/>
          <w:lang w:eastAsia="en-US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rFonts w:eastAsia="Calibri"/>
          <w:b/>
          <w:bCs/>
          <w:sz w:val="24"/>
          <w:szCs w:val="24"/>
          <w:lang w:eastAsia="en-US"/>
        </w:rPr>
        <w:t xml:space="preserve"> «Приволжский исследовательский медицинский университет»</w:t>
      </w:r>
      <w:r>
        <w:rPr>
          <w:rFonts w:eastAsia="Calibri" w:ascii="Calibri" w:hAnsi="Calibri"/>
          <w:b/>
          <w:bCs/>
          <w:sz w:val="24"/>
          <w:szCs w:val="24"/>
          <w:lang w:eastAsia="en-US"/>
        </w:rPr>
        <w:t xml:space="preserve"> </w:t>
      </w:r>
      <w:r>
        <w:rPr>
          <w:rFonts w:eastAsia="Calibri"/>
          <w:b/>
          <w:bCs/>
          <w:sz w:val="24"/>
          <w:szCs w:val="24"/>
          <w:lang w:eastAsia="en-US"/>
        </w:rPr>
        <w:t xml:space="preserve">Минздрава России </w:t>
      </w:r>
      <w:r>
        <w:rPr>
          <w:b/>
          <w:sz w:val="24"/>
          <w:szCs w:val="24"/>
          <w:lang w:eastAsia="en-US"/>
        </w:rPr>
        <w:t xml:space="preserve">(ФГБОУ ВО «ПИМУ» Минздрава России) </w:t>
      </w:r>
    </w:p>
    <w:p>
      <w:pPr>
        <w:pStyle w:val="Normal"/>
        <w:tabs>
          <w:tab w:val="clear" w:pos="708"/>
          <w:tab w:val="left" w:pos="9356" w:leader="none"/>
        </w:tabs>
        <w:spacing w:before="0" w:after="0"/>
        <w:ind w:right="17" w:hanging="0"/>
        <w:contextualSpacing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</w:r>
    </w:p>
    <w:tbl>
      <w:tblPr>
        <w:tblpPr w:bottomFromText="0" w:horzAnchor="margin" w:leftFromText="180" w:rightFromText="180" w:tblpX="0" w:tblpY="3346" w:topFromText="0" w:vertAnchor="page"/>
        <w:tblW w:w="1083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26"/>
        <w:gridCol w:w="9509"/>
      </w:tblGrid>
      <w:tr>
        <w:trPr/>
        <w:tc>
          <w:tcPr>
            <w:tcW w:w="132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exact" w:line="220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eastAsia="Calibri"/>
                <w:b/>
                <w:bCs/>
                <w:sz w:val="24"/>
                <w:szCs w:val="24"/>
                <w:u w:val="single"/>
              </w:rPr>
            </w:r>
          </w:p>
        </w:tc>
        <w:tc>
          <w:tcPr>
            <w:tcW w:w="9509" w:type="dxa"/>
            <w:tcBorders/>
            <w:shd w:color="auto" w:fill="auto" w:val="clear"/>
          </w:tcPr>
          <w:p>
            <w:pPr>
              <w:pStyle w:val="Normal"/>
              <w:widowControl w:val="false"/>
              <w:ind w:firstLine="567"/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eastAsia="Calibri"/>
                <w:b/>
                <w:bCs/>
                <w:sz w:val="24"/>
                <w:szCs w:val="24"/>
                <w:u w:val="single"/>
              </w:rPr>
            </w:r>
          </w:p>
        </w:tc>
      </w:tr>
    </w:tbl>
    <w:tbl>
      <w:tblPr>
        <w:tblpPr w:vertAnchor="page" w:horzAnchor="margin" w:tblpXSpec="center" w:leftFromText="180" w:rightFromText="180" w:tblpY="3177"/>
        <w:tblW w:w="97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62"/>
        <w:gridCol w:w="8184"/>
      </w:tblGrid>
      <w:tr>
        <w:trPr>
          <w:trHeight w:val="1083" w:hRule="atLeast"/>
        </w:trPr>
        <w:tc>
          <w:tcPr>
            <w:tcW w:w="156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677" w:leader="none"/>
              </w:tabs>
              <w:spacing w:lineRule="exact" w:line="220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eastAsia="Calibri"/>
                <w:b/>
                <w:bCs/>
                <w:sz w:val="24"/>
                <w:szCs w:val="24"/>
                <w:u w:val="single"/>
              </w:rPr>
              <w:drawing>
                <wp:anchor behindDoc="0" distT="0" distB="0" distL="114300" distR="114300" simplePos="0" locked="0" layoutInCell="1" allowOverlap="1" relativeHeight="3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34390" cy="862965"/>
                  <wp:effectExtent l="0" t="0" r="0" b="0"/>
                  <wp:wrapTight wrapText="bothSides">
                    <wp:wrapPolygon edited="0">
                      <wp:start x="242" y="0"/>
                      <wp:lineTo x="242" y="20261"/>
                      <wp:lineTo x="20951" y="20261"/>
                      <wp:lineTo x="20951" y="0"/>
                      <wp:lineTo x="242" y="0"/>
                    </wp:wrapPolygon>
                  </wp:wrapTight>
                  <wp:docPr id="1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390" cy="862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8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356" w:leader="none"/>
              </w:tabs>
              <w:spacing w:before="0" w:after="0"/>
              <w:ind w:right="17" w:hanging="0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356" w:leader="none"/>
              </w:tabs>
              <w:spacing w:before="0" w:after="0"/>
              <w:ind w:right="17" w:hanging="0"/>
              <w:contextualSpacing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2"/>
                <w:szCs w:val="22"/>
              </w:rPr>
              <w:t>! В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идеоинструкцию по подготовке к госпитализации можно посмотреть на сайте Университетской клиники https://pimunn-clinika.ru/patients/gospitalizatsiya/otdel-po-gospitalizatsii/ ; ВКонтакте на странице Университетской клиники, а также по прилагаемому </w:t>
            </w:r>
            <w: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QR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-коду</w:t>
            </w:r>
          </w:p>
        </w:tc>
      </w:tr>
    </w:tbl>
    <w:p>
      <w:pPr>
        <w:pStyle w:val="Normal"/>
        <w:tabs>
          <w:tab w:val="clear" w:pos="708"/>
          <w:tab w:val="left" w:pos="9356" w:leader="none"/>
        </w:tabs>
        <w:spacing w:before="0" w:after="0"/>
        <w:ind w:right="17" w:hanging="0"/>
        <w:contextualSpacing/>
        <w:rPr>
          <w:rFonts w:eastAsia="Calibri"/>
          <w:bCs/>
          <w:sz w:val="22"/>
          <w:szCs w:val="22"/>
          <w:u w:val="single"/>
        </w:rPr>
      </w:pPr>
      <w:r/>
      <w:r>
        <w:rPr>
          <w:rFonts w:eastAsia="Calibri"/>
          <w:bCs/>
          <w:sz w:val="22"/>
          <w:szCs w:val="22"/>
        </w:rPr>
        <w:t>УВАЖАЕМЫЙ (-АЯ)</w:t>
      </w:r>
      <w:r>
        <w:rPr>
          <w:rFonts w:eastAsia="Calibri"/>
          <w:bCs/>
          <w:sz w:val="22"/>
          <w:szCs w:val="22"/>
          <w:u w:val="single"/>
        </w:rPr>
        <w:t xml:space="preserve"> _________________________________________________________________________</w:t>
      </w:r>
    </w:p>
    <w:p>
      <w:pPr>
        <w:pStyle w:val="Normal"/>
        <w:tabs>
          <w:tab w:val="clear" w:pos="708"/>
          <w:tab w:val="left" w:pos="9356" w:leader="none"/>
        </w:tabs>
        <w:spacing w:before="0" w:after="0"/>
        <w:ind w:right="17" w:hanging="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bCs/>
          <w:sz w:val="22"/>
          <w:szCs w:val="22"/>
        </w:rPr>
        <w:t xml:space="preserve">Вы приглашаетесь на госпитализацию в Университетскую клинику ФГБОУ ВО «ПИМУ» Минздрава России _____________ в ______час. в отделение_______________________ по адресу:  </w:t>
      </w:r>
      <w:r>
        <w:rPr>
          <w:rFonts w:eastAsia="Calibri"/>
          <w:sz w:val="22"/>
          <w:szCs w:val="22"/>
        </w:rPr>
        <w:t xml:space="preserve">г. Нижний Новгород, Верхневолжская набережная, д. </w:t>
      </w:r>
      <w:r>
        <w:rPr>
          <w:rFonts w:eastAsia="Calibri"/>
          <w:bCs/>
          <w:sz w:val="22"/>
          <w:szCs w:val="22"/>
        </w:rPr>
        <w:t xml:space="preserve">18/1 (институт травматологии и ортопедии) </w:t>
      </w:r>
      <w:r>
        <w:rPr>
          <w:rFonts w:eastAsia="Calibri"/>
          <w:b/>
          <w:bCs/>
          <w:sz w:val="22"/>
          <w:szCs w:val="22"/>
        </w:rPr>
        <w:t>/</w:t>
      </w:r>
      <w:r>
        <w:rPr>
          <w:rFonts w:eastAsia="Calibri"/>
          <w:bCs/>
          <w:sz w:val="22"/>
          <w:szCs w:val="22"/>
        </w:rPr>
        <w:t xml:space="preserve"> г. Нижний Новгород, ул. Невзоровых, 100 (институт реабилитации).</w:t>
      </w:r>
    </w:p>
    <w:p>
      <w:pPr>
        <w:pStyle w:val="Normal"/>
        <w:tabs>
          <w:tab w:val="clear" w:pos="708"/>
          <w:tab w:val="left" w:pos="9356" w:leader="none"/>
        </w:tabs>
        <w:spacing w:before="0" w:after="0"/>
        <w:ind w:right="17" w:hanging="0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bCs/>
          <w:sz w:val="22"/>
          <w:szCs w:val="22"/>
          <w:u w:val="single"/>
        </w:rPr>
        <w:t>При госпитализации необходимо иметь при себе:</w:t>
      </w:r>
    </w:p>
    <w:p>
      <w:pPr>
        <w:pStyle w:val="Normal"/>
        <w:spacing w:before="0" w:after="0"/>
        <w:contextualSpacing/>
        <w:rPr>
          <w:sz w:val="22"/>
          <w:szCs w:val="22"/>
        </w:rPr>
      </w:pPr>
      <w:r>
        <w:rPr>
          <w:sz w:val="22"/>
          <w:szCs w:val="22"/>
        </w:rPr>
        <w:t>1. Перечень Университетской Клиники.</w:t>
      </w:r>
    </w:p>
    <w:p>
      <w:pPr>
        <w:pStyle w:val="Normal"/>
        <w:spacing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2. Паспорт - ОРИГИНАЛ.</w:t>
      </w:r>
    </w:p>
    <w:p>
      <w:pPr>
        <w:pStyle w:val="Normal"/>
        <w:spacing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 Документ о регистрации по месту временного пребывания (при наличии – ОБЯЗАТЕЛЬНО ПРЕДЪЯВИТЬ В ПРИЕМНОМ ОТДЕЛЕНИИ).</w:t>
      </w:r>
    </w:p>
    <w:p>
      <w:pPr>
        <w:pStyle w:val="Normal"/>
        <w:spacing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>
        <w:rPr>
          <w:i/>
          <w:sz w:val="22"/>
          <w:szCs w:val="22"/>
        </w:rPr>
        <w:t>Для военнослужащих</w:t>
      </w:r>
      <w:r>
        <w:rPr>
          <w:sz w:val="22"/>
          <w:szCs w:val="22"/>
        </w:rPr>
        <w:t xml:space="preserve"> – военное удостоверение. </w:t>
      </w:r>
    </w:p>
    <w:p>
      <w:pPr>
        <w:pStyle w:val="Normal"/>
        <w:spacing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>
        <w:rPr>
          <w:i/>
          <w:sz w:val="22"/>
          <w:szCs w:val="22"/>
        </w:rPr>
        <w:t>Для иностранных граждан</w:t>
      </w:r>
      <w:r>
        <w:rPr>
          <w:sz w:val="22"/>
          <w:szCs w:val="22"/>
        </w:rPr>
        <w:t>: а) документ, удостоверяющий личность, б) виза или вид на жительство или разрешение на временное проживание, в) миграционная карта.</w:t>
      </w:r>
    </w:p>
    <w:p>
      <w:pPr>
        <w:pStyle w:val="Normal"/>
        <w:spacing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6. Страховой полис обязательного медицинского страхования (нового образца)</w:t>
      </w:r>
      <w:r>
        <w:rPr/>
        <w:t xml:space="preserve"> - </w:t>
      </w:r>
      <w:r>
        <w:rPr>
          <w:sz w:val="22"/>
          <w:szCs w:val="22"/>
        </w:rPr>
        <w:t xml:space="preserve">ОРИГИНАЛ. </w:t>
      </w:r>
    </w:p>
    <w:p>
      <w:pPr>
        <w:pStyle w:val="Normal"/>
        <w:spacing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7. Страховое свидетельство государственного пенсионного страхования (СНИЛС) - ОРИГИНАЛ.</w:t>
      </w:r>
    </w:p>
    <w:p>
      <w:pPr>
        <w:pStyle w:val="Normal"/>
        <w:spacing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8. Справку об инвалидности (при наличии).</w:t>
      </w:r>
    </w:p>
    <w:p>
      <w:pPr>
        <w:pStyle w:val="Normal"/>
        <w:spacing w:before="0" w:after="0"/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9. При госпитализации пациента для оказания ВМП по </w:t>
      </w:r>
      <w:r>
        <w:rPr>
          <w:b/>
          <w:sz w:val="22"/>
          <w:szCs w:val="22"/>
          <w:lang w:val="en-US"/>
        </w:rPr>
        <w:t>II</w:t>
      </w:r>
      <w:r>
        <w:rPr>
          <w:b/>
          <w:sz w:val="22"/>
          <w:szCs w:val="22"/>
        </w:rPr>
        <w:t xml:space="preserve"> разделу Программы госгарантий ОБЯЗАТЕЛЬНО оформить в Минздраве региона по месту регистрации пациента Талон на оказание ВМП в системе ВМП ЕГИСЗ (кроме пациентов из Нижегородской области).</w:t>
      </w:r>
    </w:p>
    <w:p>
      <w:pPr>
        <w:pStyle w:val="Normal"/>
        <w:widowControl w:val="false"/>
        <w:tabs>
          <w:tab w:val="clear" w:pos="708"/>
          <w:tab w:val="left" w:pos="187" w:leader="none"/>
        </w:tabs>
        <w:spacing w:before="0" w:after="0"/>
        <w:ind w:right="22" w:hanging="0"/>
        <w:contextualSpacing/>
        <w:jc w:val="both"/>
        <w:rPr>
          <w:rFonts w:eastAsia="Calibri"/>
          <w:b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>10. Оригинал направления на госпитализацию (ф.057/у) - оформляется лечащим врачом медицинской организации, в которой пациент проходит диагностику и лечение в рамках программы ОМС (давностью не более 1 мес.)</w:t>
      </w:r>
      <w:r>
        <w:rPr/>
        <w:t xml:space="preserve"> </w:t>
      </w:r>
      <w:r>
        <w:rPr>
          <w:b/>
          <w:sz w:val="22"/>
          <w:szCs w:val="22"/>
        </w:rPr>
        <w:t>с указанием рекомендации и цели направления: «проведение реабилитации»,</w:t>
      </w:r>
      <w:r>
        <w:rPr>
          <w:sz w:val="22"/>
          <w:szCs w:val="22"/>
        </w:rPr>
        <w:t xml:space="preserve">  </w:t>
      </w:r>
      <w:r>
        <w:rPr>
          <w:rFonts w:eastAsia="Calibri"/>
          <w:b/>
          <w:color w:val="000000"/>
          <w:sz w:val="22"/>
          <w:szCs w:val="22"/>
        </w:rPr>
        <w:t xml:space="preserve">заверенный в установленном порядке. </w:t>
      </w:r>
    </w:p>
    <w:p>
      <w:pPr>
        <w:pStyle w:val="Normal"/>
        <w:widowControl w:val="false"/>
        <w:tabs>
          <w:tab w:val="clear" w:pos="708"/>
          <w:tab w:val="left" w:pos="187" w:leader="none"/>
        </w:tabs>
        <w:spacing w:before="0" w:after="0"/>
        <w:ind w:right="22" w:hanging="0"/>
        <w:contextualSpacing/>
        <w:jc w:val="both"/>
        <w:rPr>
          <w:rFonts w:eastAsia="Calibri"/>
          <w:b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>11. Оригинал подробной выписки из медицинской карты (ф.№027/у) -  оформляется лечащим врачом медицинской организации, в которой пациент проходит диагностику и лечение в рамках программы ОМС (давностью не более 1 мес.)</w:t>
      </w:r>
      <w:r>
        <w:rPr/>
        <w:t xml:space="preserve"> </w:t>
      </w:r>
      <w:r>
        <w:rPr>
          <w:rFonts w:eastAsia="Calibri"/>
          <w:b/>
          <w:color w:val="000000"/>
          <w:sz w:val="22"/>
          <w:szCs w:val="22"/>
        </w:rPr>
        <w:t>с указанием рекомендации и цели направления: «проведение реабилитации»,  заверенный в установленном порядке.</w:t>
      </w:r>
    </w:p>
    <w:p>
      <w:pPr>
        <w:pStyle w:val="Normal"/>
        <w:widowControl w:val="false"/>
        <w:tabs>
          <w:tab w:val="clear" w:pos="708"/>
          <w:tab w:val="left" w:pos="187" w:leader="none"/>
        </w:tabs>
        <w:spacing w:before="0" w:after="0"/>
        <w:ind w:right="22" w:hanging="0"/>
        <w:contextualSpacing/>
        <w:jc w:val="both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12.</w:t>
      </w:r>
      <w:r>
        <w:rPr>
          <w:rFonts w:ascii="Calibri" w:hAnsi="Calibri"/>
          <w:sz w:val="22"/>
          <w:szCs w:val="22"/>
          <w:lang w:eastAsia="en-US"/>
        </w:rPr>
        <w:t xml:space="preserve"> </w:t>
      </w:r>
      <w:r>
        <w:rPr>
          <w:bCs/>
          <w:sz w:val="22"/>
          <w:szCs w:val="22"/>
          <w:lang w:eastAsia="en-US"/>
        </w:rPr>
        <w:t>При наличии: номер электронного листка нетрудоспособности или оригинал  листка освобождения от выполнения служебных обязанностей по временной нетрудоспособности или справки учащегося.</w:t>
      </w:r>
    </w:p>
    <w:p>
      <w:pPr>
        <w:pStyle w:val="Normal"/>
        <w:widowControl w:val="false"/>
        <w:tabs>
          <w:tab w:val="clear" w:pos="708"/>
          <w:tab w:val="left" w:pos="187" w:leader="none"/>
        </w:tabs>
        <w:spacing w:before="0" w:after="0"/>
        <w:ind w:right="22" w:hanging="0"/>
        <w:contextualSpacing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!!! При наличии листка нетрудоспособности общей продолжительностью 10 мес. и более – госпитализация возможна только </w:t>
      </w:r>
      <w:r>
        <w:rPr>
          <w:b/>
          <w:bCs/>
          <w:sz w:val="22"/>
          <w:szCs w:val="22"/>
          <w:u w:val="single"/>
          <w:lang w:eastAsia="en-US"/>
        </w:rPr>
        <w:t>после прохождения МСЭ по месту жительства</w:t>
      </w:r>
      <w:r>
        <w:rPr>
          <w:b/>
          <w:bCs/>
          <w:sz w:val="22"/>
          <w:szCs w:val="22"/>
          <w:lang w:eastAsia="en-US"/>
        </w:rPr>
        <w:t xml:space="preserve"> и  при предоставлении подтверждающего документа.</w:t>
      </w:r>
    </w:p>
    <w:p>
      <w:pPr>
        <w:pStyle w:val="Normal"/>
        <w:spacing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 </w:t>
      </w:r>
      <w:r>
        <w:rPr>
          <w:sz w:val="22"/>
          <w:szCs w:val="22"/>
          <w:u w:val="single"/>
        </w:rPr>
        <w:t>Заключение врачей-специалистов</w:t>
      </w:r>
      <w:r>
        <w:rPr>
          <w:sz w:val="22"/>
          <w:szCs w:val="22"/>
        </w:rPr>
        <w:t xml:space="preserve"> – полный осмотр, диагноз и рекомендации (давностью не более 1 мес.):</w:t>
      </w:r>
    </w:p>
    <w:tbl>
      <w:tblPr>
        <w:tblW w:w="107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369"/>
        <w:gridCol w:w="1558"/>
        <w:gridCol w:w="5813"/>
      </w:tblGrid>
      <w:tr>
        <w:trPr>
          <w:trHeight w:val="327" w:hRule="atLeast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>Врач-специалист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>Заключение действительно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>Категория пациентов</w:t>
            </w:r>
          </w:p>
        </w:tc>
      </w:tr>
      <w:tr>
        <w:trPr>
          <w:trHeight w:val="327" w:hRule="atLeast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b/>
              </w:rPr>
            </w:pPr>
            <w:r>
              <w:rPr>
                <w:b/>
              </w:rPr>
              <w:t>Терапевт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b/>
              </w:rPr>
            </w:pPr>
            <w:r>
              <w:rPr>
                <w:b/>
              </w:rPr>
              <w:t>1 месяц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b/>
              </w:rPr>
            </w:pPr>
            <w:r>
              <w:rPr>
                <w:b/>
              </w:rPr>
              <w:t>Всем</w:t>
            </w:r>
          </w:p>
        </w:tc>
      </w:tr>
      <w:tr>
        <w:trPr/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b/>
              </w:rPr>
            </w:pPr>
            <w:r>
              <w:rPr>
                <w:b/>
              </w:rPr>
              <w:t>Гинеколог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1 месяц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b/>
              </w:rPr>
            </w:pPr>
            <w:r>
              <w:rPr>
                <w:b/>
              </w:rPr>
              <w:t>Для женщин старше 30 лет</w:t>
            </w:r>
          </w:p>
        </w:tc>
      </w:tr>
      <w:tr>
        <w:trPr/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b/>
              </w:rPr>
            </w:pPr>
            <w:r>
              <w:rPr>
                <w:b/>
              </w:rPr>
              <w:t>Инфекционист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1 месяц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b/>
              </w:rPr>
            </w:pPr>
            <w:r>
              <w:rPr>
                <w:b/>
                <w:bCs/>
                <w:lang w:eastAsia="en-US"/>
              </w:rPr>
              <w:t>При наличии гепатита В, С, ВИЧ</w:t>
            </w:r>
          </w:p>
        </w:tc>
      </w:tr>
      <w:tr>
        <w:trPr/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b/>
              </w:rPr>
            </w:pPr>
            <w:r>
              <w:rPr>
                <w:b/>
              </w:rPr>
              <w:t>Дерматовенеролог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1 месяц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b/>
              </w:rPr>
            </w:pPr>
            <w:r>
              <w:rPr>
                <w:b/>
              </w:rPr>
              <w:t>При положительном результате RW</w:t>
            </w:r>
          </w:p>
        </w:tc>
      </w:tr>
      <w:tr>
        <w:trPr/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b/>
              </w:rPr>
            </w:pPr>
            <w:r>
              <w:rPr>
                <w:b/>
              </w:rPr>
              <w:t>Фтизиатр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1 месяц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b/>
              </w:rPr>
            </w:pPr>
            <w:r>
              <w:rPr>
                <w:b/>
              </w:rPr>
              <w:t>При наличии туберкулеза в анамнезе</w:t>
            </w:r>
          </w:p>
        </w:tc>
      </w:tr>
      <w:tr>
        <w:trPr/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b/>
              </w:rPr>
            </w:pPr>
            <w:r>
              <w:rPr>
                <w:b/>
              </w:rPr>
              <w:t>Аритмолог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1 месяц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b/>
              </w:rPr>
            </w:pPr>
            <w:r>
              <w:rPr>
                <w:b/>
              </w:rPr>
              <w:t>Всем пациентам с электрокардиостимулятором</w:t>
            </w:r>
            <w:r>
              <w:rPr/>
              <w:t xml:space="preserve"> </w:t>
            </w:r>
            <w:r>
              <w:rPr>
                <w:b/>
              </w:rPr>
              <w:t>и синдромом WPW</w:t>
            </w:r>
          </w:p>
        </w:tc>
      </w:tr>
      <w:tr>
        <w:trPr/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b/>
              </w:rPr>
            </w:pPr>
            <w:r>
              <w:rPr>
                <w:b/>
              </w:rPr>
              <w:t>Кардиолог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1 месяц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/>
              </w:rPr>
            </w:pPr>
            <w:r>
              <w:rPr>
                <w:b/>
              </w:rPr>
              <w:t>При наличии в анамнезе инфаркта миокарда, нарушений ритма, стентирования коронарных артерий</w:t>
            </w:r>
          </w:p>
        </w:tc>
      </w:tr>
      <w:tr>
        <w:trPr/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b/>
              </w:rPr>
            </w:pPr>
            <w:r>
              <w:rPr>
                <w:b/>
              </w:rPr>
              <w:t>Эндокринолог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1 месяц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/>
              </w:rPr>
            </w:pPr>
            <w:r>
              <w:rPr>
                <w:b/>
              </w:rPr>
              <w:t>При наличии заболеваний щитовидной железы, сахарного диабета</w:t>
            </w:r>
          </w:p>
        </w:tc>
      </w:tr>
      <w:tr>
        <w:trPr/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b/>
              </w:rPr>
            </w:pPr>
            <w:r>
              <w:rPr>
                <w:b/>
              </w:rPr>
              <w:t>Психиатр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1 месяц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b/>
              </w:rPr>
            </w:pPr>
            <w:r>
              <w:rPr>
                <w:b/>
              </w:rPr>
              <w:t>При наличии психических заболеваний, диспансерного учета</w:t>
            </w:r>
          </w:p>
        </w:tc>
      </w:tr>
      <w:tr>
        <w:trPr/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b/>
              </w:rPr>
            </w:pPr>
            <w:r>
              <w:rPr>
                <w:b/>
              </w:rPr>
              <w:t>Соответствующие врачи-специалисты (невролог, онколог, ревматолог и др.)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1 месяц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b/>
              </w:rPr>
            </w:pPr>
            <w:r>
              <w:rPr>
                <w:b/>
              </w:rPr>
              <w:t>При наличии прочих сопутствующих заболеваний</w:t>
            </w:r>
          </w:p>
        </w:tc>
      </w:tr>
    </w:tbl>
    <w:p>
      <w:pPr>
        <w:pStyle w:val="Normal"/>
        <w:spacing w:lineRule="auto" w:line="276" w:before="0" w:after="120"/>
        <w:contextualSpacing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0" w:after="1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16. </w:t>
      </w:r>
      <w:r>
        <w:rPr>
          <w:sz w:val="22"/>
          <w:szCs w:val="22"/>
          <w:u w:val="single"/>
        </w:rPr>
        <w:t>Лабораторные исследования</w:t>
      </w:r>
      <w:r>
        <w:rPr>
          <w:sz w:val="22"/>
          <w:szCs w:val="22"/>
        </w:rPr>
        <w:t xml:space="preserve">: </w:t>
      </w:r>
    </w:p>
    <w:tbl>
      <w:tblPr>
        <w:tblW w:w="107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33"/>
        <w:gridCol w:w="4678"/>
        <w:gridCol w:w="1278"/>
        <w:gridCol w:w="4250"/>
      </w:tblGrid>
      <w:tr>
        <w:trPr/>
        <w:tc>
          <w:tcPr>
            <w:tcW w:w="10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АНАЛИЗЫ, ОБСЛЕДОВАНИЯ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2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действия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Комментарии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2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Общий анализ крови с СОЭ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дней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Всем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2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Б</w:t>
            </w:r>
            <w:r>
              <w:rPr>
                <w:b/>
              </w:rPr>
              <w:t>иохимический анализ крови (АЛАТ, АСАТ, общий билирубин, сахар, общий белок, креатинин, С-реактивный белок – количественным методом)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2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месяц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2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Всем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2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23"/>
              <w:rPr>
                <w:b/>
                <w:bCs/>
              </w:rPr>
            </w:pPr>
            <w:r>
              <w:rPr>
                <w:b/>
              </w:rPr>
              <w:t xml:space="preserve">Анализ крови </w:t>
            </w:r>
            <w:r>
              <w:rPr>
                <w:b/>
                <w:u w:val="single"/>
              </w:rPr>
              <w:t>ИФА методом</w:t>
            </w:r>
            <w:r>
              <w:rPr>
                <w:b/>
              </w:rPr>
              <w:t xml:space="preserve"> на  гепатит В (HbSAg) и гепатит С (HCV)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2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месяц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Всем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2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23"/>
              <w:rPr>
                <w:b/>
                <w:bCs/>
              </w:rPr>
            </w:pPr>
            <w:r>
              <w:rPr>
                <w:b/>
                <w:bCs/>
              </w:rPr>
              <w:t>Анализ крови на сифилис (</w:t>
            </w:r>
            <w:r>
              <w:rPr>
                <w:b/>
                <w:bCs/>
                <w:lang w:val="en-US"/>
              </w:rPr>
              <w:t>RW</w:t>
            </w:r>
            <w:r>
              <w:rPr>
                <w:b/>
                <w:bCs/>
              </w:rPr>
              <w:t>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2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дней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Всем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2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21" w:beforeAutospacing="1" w:after="0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Анализ крови на ВИЧ-инфекцию (одновременное определение антител к ВИЧ 1,2 и антигена р24)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23" w:before="0" w:after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 месяц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21" w:beforeAutospacing="1"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Всем (</w:t>
            </w:r>
            <w:r>
              <w:rPr>
                <w:b/>
                <w:bCs/>
                <w:color w:val="000000"/>
              </w:rPr>
              <w:t>на основании п.п. 618-619 СапПиН 3.3686-21 «Санитарно-эпидемиологические требования по профилактике инфекционных болезней»)</w:t>
            </w:r>
          </w:p>
        </w:tc>
      </w:tr>
      <w:tr>
        <w:trPr>
          <w:trHeight w:val="323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2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Общий анализ мочи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дней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Всем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2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Анализ кала на яйца глист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дней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Всем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2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23"/>
              <w:ind w:right="-108" w:hanging="0"/>
              <w:rPr>
                <w:b/>
                <w:bCs/>
              </w:rPr>
            </w:pPr>
            <w:r>
              <w:rPr>
                <w:b/>
              </w:rPr>
              <w:t>Электрокардиограмму (ЭКГ) лента и заключение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2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месяц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Всем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2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23"/>
              <w:ind w:right="-108" w:hanging="0"/>
              <w:rPr>
                <w:b/>
              </w:rPr>
            </w:pPr>
            <w:r>
              <w:rPr>
                <w:b/>
              </w:rPr>
              <w:t>Флюорографическое обследование органов грудной клетки с заключением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23"/>
              <w:jc w:val="center"/>
              <w:rPr>
                <w:b/>
                <w:bCs/>
              </w:rPr>
            </w:pPr>
            <w:r>
              <w:rPr>
                <w:b/>
              </w:rPr>
              <w:t>12 месяцев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2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Всем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2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23"/>
              <w:rPr>
                <w:b/>
                <w:bCs/>
              </w:rPr>
            </w:pPr>
            <w:r>
              <w:rPr>
                <w:b/>
              </w:rPr>
              <w:t>Эхокардиографию (УЗИ сердца): протокол исследования с заключением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2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месяц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23"/>
              <w:jc w:val="both"/>
              <w:rPr>
                <w:b/>
                <w:bCs/>
              </w:rPr>
            </w:pPr>
            <w:r>
              <w:rPr>
                <w:b/>
              </w:rPr>
              <w:t>Всем пациентам в возрасте 65 лет и старше, а также с заболеваниями сердечно-сосудистой системы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2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23"/>
              <w:rPr>
                <w:b/>
              </w:rPr>
            </w:pPr>
            <w:r>
              <w:rPr>
                <w:b/>
              </w:rPr>
              <w:t>Ультразвуковое исследование (УЗДГ) вен нижних конечностей: протокол исследования с заключением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23"/>
              <w:jc w:val="center"/>
              <w:rPr>
                <w:b/>
              </w:rPr>
            </w:pPr>
            <w:r>
              <w:rPr>
                <w:b/>
              </w:rPr>
              <w:t>14 дней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23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Всем пациентам, кроме поступающих на реабилитацию по поводу травм и заболеваний верхних конечностей</w:t>
            </w:r>
          </w:p>
          <w:p>
            <w:pPr>
              <w:pStyle w:val="Normal"/>
              <w:widowControl w:val="false"/>
              <w:spacing w:lineRule="exact" w:line="223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2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23"/>
              <w:rPr>
                <w:b/>
              </w:rPr>
            </w:pPr>
            <w:r>
              <w:rPr>
                <w:b/>
              </w:rPr>
              <w:t>Рентгенограммы, МРТ, КТ (имеющиеся)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23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23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23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Ультразвуковое исследование (УЗДГ) сосудов брахиоцефальной системы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1 месяц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Только пациентам, поступающим на реабилитацию по поводу перенесенного инсульта.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2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Анализ крови на липидный профиль (общ холестерин, ЛПНП, ЛПВП, триглицериды)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1 месяц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Только пациентам, поступающим на реабилитацию по поводу перенесенного инсульта</w:t>
            </w:r>
          </w:p>
        </w:tc>
      </w:tr>
    </w:tbl>
    <w:p>
      <w:pPr>
        <w:pStyle w:val="Normal"/>
        <w:spacing w:before="0" w:after="1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Госпитализация возможна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при отсутствии</w:t>
      </w:r>
      <w:r>
        <w:rPr>
          <w:sz w:val="24"/>
          <w:szCs w:val="24"/>
        </w:rPr>
        <w:t>: выраженных изменений в вышеперечисленных результатах обследований, отсутствии острых и (или) обострений сопутствующих заболеваний,</w:t>
      </w:r>
      <w:r>
        <w:rPr>
          <w:rFonts w:ascii="Calibri" w:hAnsi="Calibri"/>
          <w:sz w:val="22"/>
          <w:szCs w:val="22"/>
          <w:lang w:eastAsia="en-US"/>
        </w:rPr>
        <w:t xml:space="preserve"> </w:t>
      </w:r>
      <w:r>
        <w:rPr>
          <w:sz w:val="24"/>
          <w:szCs w:val="24"/>
        </w:rPr>
        <w:t>не раньше, чем через 1 месяц с момента проведения профилактических прививок.</w:t>
      </w:r>
    </w:p>
    <w:p>
      <w:pPr>
        <w:pStyle w:val="Normal"/>
        <w:tabs>
          <w:tab w:val="clear" w:pos="708"/>
          <w:tab w:val="left" w:pos="993" w:leader="none"/>
        </w:tabs>
        <w:jc w:val="center"/>
        <w:rPr>
          <w:b/>
          <w:szCs w:val="22"/>
        </w:rPr>
      </w:pPr>
      <w:r>
        <w:rPr>
          <w:b/>
          <w:szCs w:val="22"/>
          <w:u w:val="single"/>
        </w:rPr>
        <w:t>СПИСОК ДОКУМЕНТОВ, АНАЛИЗОВ, ИССЛЕДОВАНИЙ ДЛЯ УХАЖИВАЮЩЕГО:</w:t>
      </w:r>
    </w:p>
    <w:p>
      <w:pPr>
        <w:pStyle w:val="Normal"/>
        <w:jc w:val="center"/>
        <w:rPr>
          <w:shd w:fill="FFFF00" w:val="clear"/>
        </w:rPr>
      </w:pPr>
      <w:r>
        <w:rPr>
          <w:shd w:fill="FFFF00" w:val="clear"/>
        </w:rPr>
      </w:r>
    </w:p>
    <w:tbl>
      <w:tblPr>
        <w:tblW w:w="107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29"/>
        <w:gridCol w:w="3122"/>
        <w:gridCol w:w="1419"/>
        <w:gridCol w:w="5669"/>
      </w:tblGrid>
      <w:tr>
        <w:trPr/>
        <w:tc>
          <w:tcPr>
            <w:tcW w:w="10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hd w:fill="FFFF00" w:val="clear"/>
              </w:rPr>
            </w:pPr>
            <w:r>
              <w:rPr>
                <w:b/>
                <w:sz w:val="22"/>
                <w:szCs w:val="22"/>
              </w:rPr>
              <w:t>АНАЛИЗЫ</w:t>
            </w:r>
          </w:p>
        </w:tc>
      </w:tr>
      <w:tr>
        <w:trPr/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ind w:firstLine="567"/>
              <w:rPr/>
            </w:pPr>
            <w:r>
              <w:rPr/>
              <w:t>2№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ind w:firstLine="567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jc w:val="center"/>
              <w:rPr>
                <w:b/>
              </w:rPr>
            </w:pPr>
            <w:r>
              <w:rPr>
                <w:b/>
              </w:rPr>
              <w:t>Срок действия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ind w:firstLine="567"/>
              <w:jc w:val="center"/>
              <w:rPr>
                <w:b/>
              </w:rPr>
            </w:pPr>
            <w:r>
              <w:rPr>
                <w:b/>
              </w:rPr>
              <w:tab/>
              <w:tab/>
              <w:t>Категория пациентов</w:t>
            </w:r>
          </w:p>
        </w:tc>
      </w:tr>
      <w:tr>
        <w:trPr/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кала на дизентерию и сальмонеллез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дней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exact" w:line="22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Всем поступающим по уходу </w:t>
            </w:r>
            <w:r>
              <w:rPr>
                <w:sz w:val="22"/>
                <w:szCs w:val="22"/>
              </w:rPr>
              <w:t>(п.2006 Постановления Главного государственного санитарного врача РФ от 28.02.2021 г. №4 «Об утверждении СанПиН 3.3686-21 «Санитарно-эпидемиологические требования по профилактике инфекционных болезней»)</w:t>
            </w:r>
          </w:p>
        </w:tc>
      </w:tr>
    </w:tbl>
    <w:p>
      <w:pPr>
        <w:pStyle w:val="Normal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Обратите внимание!!!</w:t>
      </w:r>
    </w:p>
    <w:p>
      <w:pPr>
        <w:pStyle w:val="Normal"/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Все анализы и заключения должны быть в наличии при поступлении на госпитализацию, не просрочены и оформлены на отдельных бланках, заверены подписями и печатью лечебного учреждения.</w:t>
      </w:r>
    </w:p>
    <w:p>
      <w:pPr>
        <w:pStyle w:val="Normal"/>
        <w:spacing w:lineRule="auto" w:line="27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Calibri" w:hAnsi="Calibri"/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УВАЖАЕМЫЕ ПАЦИЕНТЫ!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Calibri" w:hAnsi="Calibri"/>
          <w:sz w:val="22"/>
          <w:szCs w:val="22"/>
          <w:lang w:eastAsia="en-US"/>
        </w:rPr>
      </w:pPr>
      <w:r>
        <w:rPr>
          <w:b/>
          <w:sz w:val="24"/>
          <w:szCs w:val="24"/>
          <w:lang w:eastAsia="en-US"/>
        </w:rPr>
        <w:t xml:space="preserve">Госпитализация возможна только при наличии ВСЕХ необходимых документов и обследований согласно данному ПЕРЕЧНЮ. </w:t>
      </w:r>
      <w:r>
        <w:rPr>
          <w:color w:val="000000"/>
          <w:sz w:val="22"/>
          <w:szCs w:val="22"/>
        </w:rPr>
        <w:t xml:space="preserve">При </w:t>
      </w:r>
      <w:r>
        <w:rPr>
          <w:b/>
          <w:bCs/>
          <w:color w:val="000000"/>
          <w:sz w:val="22"/>
          <w:szCs w:val="22"/>
        </w:rPr>
        <w:t>отсутствии</w:t>
      </w:r>
      <w:r>
        <w:rPr>
          <w:color w:val="000000"/>
          <w:sz w:val="22"/>
          <w:szCs w:val="22"/>
        </w:rPr>
        <w:t xml:space="preserve"> необходимых результатов обследований или при наличии просроченных исследований, а также при наличии отклонений в представленных результатах  исследований может потребоваться их выполнение в </w:t>
      </w:r>
      <w:r>
        <w:rPr>
          <w:bCs/>
          <w:sz w:val="22"/>
          <w:szCs w:val="22"/>
          <w:lang w:eastAsia="en-US"/>
        </w:rPr>
        <w:t xml:space="preserve">Университетской клинике </w:t>
      </w:r>
      <w:r>
        <w:rPr>
          <w:color w:val="000000"/>
          <w:sz w:val="22"/>
          <w:szCs w:val="22"/>
          <w:u w:val="single"/>
        </w:rPr>
        <w:t>на платной основе</w:t>
      </w:r>
      <w:r>
        <w:rPr>
          <w:color w:val="000000"/>
          <w:sz w:val="22"/>
          <w:szCs w:val="22"/>
        </w:rPr>
        <w:t xml:space="preserve"> либо в ином месте по полису ОМС. В противном случае – дата госпитализации будет </w:t>
      </w:r>
      <w:r>
        <w:rPr>
          <w:b/>
          <w:color w:val="000000"/>
          <w:sz w:val="22"/>
          <w:szCs w:val="22"/>
          <w:u w:val="single"/>
        </w:rPr>
        <w:t>перенесена</w:t>
      </w:r>
      <w:r>
        <w:rPr>
          <w:color w:val="000000"/>
          <w:sz w:val="22"/>
          <w:szCs w:val="22"/>
        </w:rPr>
        <w:t>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При себе иметь: </w:t>
      </w:r>
      <w:r>
        <w:rPr>
          <w:sz w:val="22"/>
          <w:szCs w:val="22"/>
          <w:lang w:eastAsia="en-US"/>
        </w:rPr>
        <w:t>лекарственные средства, принимаемые на постоянной основе по поводу хронических заболеваний</w:t>
      </w:r>
      <w:r>
        <w:rPr>
          <w:b/>
          <w:sz w:val="22"/>
          <w:szCs w:val="22"/>
          <w:lang w:eastAsia="en-US"/>
        </w:rPr>
        <w:t xml:space="preserve">, </w:t>
      </w:r>
      <w:r>
        <w:rPr>
          <w:sz w:val="22"/>
          <w:szCs w:val="22"/>
          <w:lang w:eastAsia="en-US"/>
        </w:rPr>
        <w:t xml:space="preserve">а также  список препаратов с дозировками и кратностью приема,  предметы личной гигиены, удобную одежду и обувь для пребывания (обувь с нескользящей подошвой, с фиксированной пяткой, исключить сланцы, банные тапочки, шлепанцы, допускается каблук 1,5-3 см, для занятий физическими упражнениями используйте соответствующую обувь). Если Вы пользуетесь очками/линзами, слуховым аппаратом – обязательно возьмите их в стационар. 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Если Вы в назначенный срок не можете прибыть на госпитализацию, обязательно поставьте в известность отдел по госпитализации на  электронную почту по адресу:  otd.gsp.gito@pimunn.net или по телефонам, указанным далее в таблице. 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По организационным вопросам, связанным с госпитализацией в соответствующее отделение Университетской клиники, Вы можете обратиться на электронную почту по адресу otd.gsp.gito@pimunn.net или позвонить по телефону:</w:t>
      </w:r>
    </w:p>
    <w:tbl>
      <w:tblPr>
        <w:tblpPr w:bottomFromText="0" w:horzAnchor="margin" w:leftFromText="180" w:rightFromText="180" w:tblpX="392" w:tblpY="321" w:topFromText="0" w:vertAnchor="text"/>
        <w:tblW w:w="1031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51"/>
        <w:gridCol w:w="8362"/>
      </w:tblGrid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8(831) 422-13-84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пациенты с последствиями термической травмы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8(910)-790-17-17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 реабилитационно-восстановительное лечение, ботулинотерапию в институт травматологии и ортопедии (отд. медицинской реабилитации пациентов с нарушением функции центральной нервной системы)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8(831) 422-20-30</w:t>
            </w:r>
          </w:p>
          <w:p>
            <w:pPr>
              <w:pStyle w:val="Normal"/>
              <w:widowControl w:val="false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8-904-064-93-73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На реабилитационно-восстановительное лечение в институт реабилитации (отд. </w:t>
            </w:r>
            <w:r>
              <w:rPr/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медицинской реабилитации взрослых с нарушением функции     периферической нервной системы и костно-мышечной системы)</w:t>
            </w:r>
          </w:p>
        </w:tc>
      </w:tr>
    </w:tbl>
    <w:p>
      <w:pPr>
        <w:pStyle w:val="Normal"/>
        <w:spacing w:lineRule="auto" w:line="276"/>
        <w:ind w:left="777" w:hanging="0"/>
        <w:jc w:val="both"/>
        <w:rPr>
          <w:rFonts w:ascii="Calibri" w:hAnsi="Calibri"/>
          <w:i/>
          <w:i/>
          <w:sz w:val="22"/>
          <w:szCs w:val="22"/>
          <w:lang w:eastAsia="en-US"/>
        </w:rPr>
      </w:pPr>
      <w:r>
        <w:rPr>
          <w:rFonts w:ascii="Calibri" w:hAnsi="Calibri"/>
          <w:i/>
          <w:sz w:val="22"/>
          <w:szCs w:val="22"/>
          <w:lang w:eastAsia="en-US"/>
        </w:rPr>
      </w:r>
    </w:p>
    <w:p>
      <w:pPr>
        <w:pStyle w:val="Normal"/>
        <w:numPr>
          <w:ilvl w:val="0"/>
          <w:numId w:val="1"/>
        </w:numPr>
        <w:spacing w:lineRule="auto" w:line="276"/>
        <w:ind w:left="777" w:hanging="357"/>
        <w:jc w:val="both"/>
        <w:rPr>
          <w:rFonts w:ascii="Calibri" w:hAnsi="Calibri"/>
          <w:i/>
          <w:i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По вопросам лечения на платной основе звонить по тел.: </w:t>
      </w:r>
      <w:r>
        <w:rPr>
          <w:b/>
          <w:sz w:val="24"/>
          <w:szCs w:val="24"/>
          <w:lang w:eastAsia="en-US"/>
        </w:rPr>
        <w:t>8(831)436-94-04.</w:t>
      </w:r>
      <w:r>
        <w:rPr>
          <w:b/>
          <w:sz w:val="22"/>
          <w:szCs w:val="22"/>
          <w:lang w:eastAsia="en-US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Calibri" w:hAnsi="Calibri"/>
          <w:i/>
          <w:i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По вопросам </w:t>
      </w:r>
      <w:r>
        <w:rPr>
          <w:b/>
          <w:sz w:val="22"/>
          <w:szCs w:val="22"/>
          <w:lang w:eastAsia="en-US"/>
        </w:rPr>
        <w:t>записи на</w:t>
      </w:r>
      <w:r>
        <w:rPr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консультацию</w:t>
      </w:r>
      <w:r>
        <w:rPr>
          <w:sz w:val="22"/>
          <w:szCs w:val="22"/>
          <w:lang w:eastAsia="en-US"/>
        </w:rPr>
        <w:t xml:space="preserve"> обращаться </w:t>
      </w:r>
      <w:r>
        <w:rPr>
          <w:b/>
          <w:sz w:val="22"/>
          <w:szCs w:val="22"/>
          <w:lang w:eastAsia="en-US"/>
        </w:rPr>
        <w:t xml:space="preserve">в </w:t>
      </w:r>
      <w:r>
        <w:rPr>
          <w:b/>
          <w:sz w:val="22"/>
          <w:szCs w:val="22"/>
          <w:lang w:val="en-US" w:eastAsia="en-US"/>
        </w:rPr>
        <w:t>CALL</w:t>
      </w:r>
      <w:r>
        <w:rPr>
          <w:b/>
          <w:sz w:val="22"/>
          <w:szCs w:val="22"/>
          <w:lang w:eastAsia="en-US"/>
        </w:rPr>
        <w:t xml:space="preserve"> центр  </w:t>
      </w:r>
      <w:r>
        <w:rPr>
          <w:sz w:val="22"/>
          <w:szCs w:val="22"/>
          <w:lang w:eastAsia="en-US"/>
        </w:rPr>
        <w:t xml:space="preserve">Университетской клиники ФГБОУ ВО «ПИМУ» Минздрава России по тел.: </w:t>
      </w:r>
      <w:r>
        <w:rPr>
          <w:b/>
          <w:sz w:val="24"/>
          <w:szCs w:val="24"/>
          <w:lang w:eastAsia="en-US"/>
        </w:rPr>
        <w:t>8 (831) 422-20-00</w:t>
      </w:r>
      <w:r>
        <w:rPr>
          <w:b/>
          <w:sz w:val="22"/>
          <w:szCs w:val="22"/>
          <w:lang w:eastAsia="en-US"/>
        </w:rPr>
        <w:t xml:space="preserve"> ИЛИ оставить заявку на НАШЕМ сайте </w:t>
      </w:r>
      <w:hyperlink r:id="rId3">
        <w:r>
          <w:rPr>
            <w:rStyle w:val="-"/>
            <w:b/>
          </w:rPr>
          <w:t>https://pimunn-clinika.ru</w:t>
        </w:r>
      </w:hyperlink>
      <w:r>
        <w:rPr>
          <w:b/>
          <w:sz w:val="22"/>
          <w:szCs w:val="22"/>
          <w:lang w:eastAsia="en-US"/>
        </w:rPr>
        <w:t xml:space="preserve"> , после чего координатор перезвонит Вам и запишет на приём.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Calibri" w:hAnsi="Calibri"/>
          <w:i/>
          <w:i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На интересующие вопросы Вы можете найти ответы на</w:t>
      </w:r>
      <w:r>
        <w:rPr>
          <w:b/>
          <w:bCs/>
          <w:sz w:val="22"/>
          <w:szCs w:val="22"/>
          <w:lang w:eastAsia="en-US"/>
        </w:rPr>
        <w:t xml:space="preserve"> сайте Университетской клиники - </w:t>
      </w:r>
      <w:hyperlink r:id="rId4">
        <w:r>
          <w:rPr>
            <w:rStyle w:val="-"/>
            <w:b/>
          </w:rPr>
          <w:t>https://pimunn-clinika.ru</w:t>
        </w:r>
      </w:hyperlink>
      <w:r>
        <w:rPr>
          <w:b/>
        </w:rPr>
        <w:t xml:space="preserve"> </w:t>
      </w:r>
      <w:r>
        <w:rPr>
          <w:b/>
          <w:bCs/>
          <w:sz w:val="22"/>
          <w:szCs w:val="22"/>
          <w:lang w:eastAsia="en-US"/>
        </w:rPr>
        <w:t>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Calibri" w:hAnsi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В случае </w:t>
      </w:r>
      <w:r>
        <w:rPr>
          <w:b/>
          <w:bCs/>
          <w:sz w:val="22"/>
          <w:szCs w:val="22"/>
        </w:rPr>
        <w:t xml:space="preserve">неявки </w:t>
      </w:r>
      <w:r>
        <w:rPr>
          <w:sz w:val="22"/>
          <w:szCs w:val="22"/>
        </w:rPr>
        <w:t>на госпитализацию в указанный срок</w:t>
      </w:r>
      <w:r>
        <w:rPr/>
        <w:t xml:space="preserve"> </w:t>
      </w:r>
      <w:r>
        <w:rPr>
          <w:sz w:val="22"/>
          <w:szCs w:val="22"/>
        </w:rPr>
        <w:t>без предупреждения Университетской клиники Талон на оказание ВМП будет закрыт («квота» на текущий год аннулируется).</w:t>
      </w:r>
    </w:p>
    <w:p>
      <w:pPr>
        <w:pStyle w:val="Normal"/>
        <w:numPr>
          <w:ilvl w:val="0"/>
          <w:numId w:val="1"/>
        </w:numPr>
        <w:spacing w:lineRule="auto" w:line="276"/>
        <w:ind w:left="777" w:hanging="357"/>
        <w:jc w:val="both"/>
        <w:rPr>
          <w:rFonts w:ascii="Calibri" w:hAnsi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Дата Вашей госпитализации </w:t>
      </w:r>
      <w:r>
        <w:rPr>
          <w:b/>
          <w:bCs/>
          <w:sz w:val="22"/>
          <w:szCs w:val="22"/>
        </w:rPr>
        <w:t>может быть перенесена</w:t>
      </w:r>
      <w:r>
        <w:rPr>
          <w:sz w:val="22"/>
          <w:szCs w:val="22"/>
        </w:rPr>
        <w:t xml:space="preserve"> при отсутствии мест в стационаре или по другим техническим причинам.</w:t>
      </w:r>
    </w:p>
    <w:p>
      <w:pPr>
        <w:pStyle w:val="Normal"/>
        <w:numPr>
          <w:ilvl w:val="0"/>
          <w:numId w:val="1"/>
        </w:numPr>
        <w:spacing w:lineRule="auto" w:line="276"/>
        <w:ind w:left="777" w:hanging="357"/>
        <w:jc w:val="both"/>
        <w:rPr>
          <w:rFonts w:ascii="Calibri" w:hAnsi="Calibri"/>
          <w:sz w:val="22"/>
          <w:szCs w:val="22"/>
          <w:lang w:eastAsia="en-US"/>
        </w:rPr>
      </w:pPr>
      <w:r>
        <w:rPr>
          <w:sz w:val="22"/>
          <w:szCs w:val="22"/>
        </w:rPr>
        <w:t>В том случае, если Вы приехали</w:t>
      </w:r>
      <w:r>
        <w:rPr>
          <w:b/>
          <w:bCs/>
          <w:sz w:val="22"/>
          <w:szCs w:val="22"/>
        </w:rPr>
        <w:t xml:space="preserve"> раньше </w:t>
      </w:r>
      <w:r>
        <w:rPr>
          <w:sz w:val="22"/>
          <w:szCs w:val="22"/>
        </w:rPr>
        <w:t>назначенного срока госпитализации, необходимо предусмотреть возможность проживания в одной из гостиниц  г. Нижний Новгород</w:t>
      </w:r>
      <w:r>
        <w:rPr>
          <w:sz w:val="24"/>
          <w:szCs w:val="24"/>
        </w:rPr>
        <w:t>.</w:t>
      </w:r>
    </w:p>
    <w:p>
      <w:pPr>
        <w:pStyle w:val="Normal"/>
        <w:numPr>
          <w:ilvl w:val="0"/>
          <w:numId w:val="1"/>
        </w:numPr>
        <w:spacing w:lineRule="auto" w:line="276"/>
        <w:ind w:left="777" w:hanging="357"/>
        <w:jc w:val="both"/>
        <w:rPr>
          <w:rFonts w:ascii="Calibri" w:hAnsi="Calibri"/>
          <w:sz w:val="22"/>
          <w:szCs w:val="22"/>
          <w:lang w:eastAsia="en-US"/>
        </w:rPr>
      </w:pPr>
      <w:r>
        <w:rPr>
          <w:sz w:val="22"/>
          <w:szCs w:val="22"/>
        </w:rPr>
        <w:t>Билеты на обратную дорогу приобретаются пациентами и их родственниками самостоятельно.</w:t>
      </w:r>
    </w:p>
    <w:p>
      <w:pPr>
        <w:pStyle w:val="Normal"/>
        <w:numPr>
          <w:ilvl w:val="0"/>
          <w:numId w:val="1"/>
        </w:numPr>
        <w:spacing w:lineRule="auto" w:line="276"/>
        <w:ind w:left="777" w:hanging="357"/>
        <w:jc w:val="both"/>
        <w:rPr>
          <w:rFonts w:ascii="Calibri" w:hAnsi="Calibri"/>
          <w:sz w:val="22"/>
          <w:szCs w:val="22"/>
          <w:lang w:eastAsia="en-US"/>
        </w:rPr>
      </w:pPr>
      <w:r>
        <w:rPr>
          <w:sz w:val="22"/>
          <w:szCs w:val="22"/>
        </w:rPr>
        <w:t>Убедительная просьба: не брать с собой при поступлении в стационар ценные вещи. За их сохранность  администрация Университетской клиники ответственности не несет.</w:t>
      </w:r>
    </w:p>
    <w:p>
      <w:pPr>
        <w:pStyle w:val="Normal"/>
        <w:numPr>
          <w:ilvl w:val="0"/>
          <w:numId w:val="1"/>
        </w:numPr>
        <w:spacing w:lineRule="auto" w:line="276"/>
        <w:ind w:left="777" w:hanging="357"/>
        <w:jc w:val="both"/>
        <w:rPr>
          <w:rFonts w:ascii="Calibri" w:hAnsi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Личные вещи упаковывать в заранее подготовленные целлофановые пакеты с ручками. </w:t>
      </w:r>
    </w:p>
    <w:p>
      <w:pPr>
        <w:pStyle w:val="Normal"/>
        <w:numPr>
          <w:ilvl w:val="0"/>
          <w:numId w:val="1"/>
        </w:numPr>
        <w:spacing w:lineRule="auto" w:line="276"/>
        <w:ind w:left="777" w:hanging="357"/>
        <w:jc w:val="both"/>
        <w:rPr>
          <w:rFonts w:ascii="Calibri" w:hAnsi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Крупногабаритные сумки и чемоданы сдаются в приемно-консультативном отделении на вещевой склад. </w:t>
      </w:r>
    </w:p>
    <w:p>
      <w:pPr>
        <w:pStyle w:val="Normal"/>
        <w:spacing w:lineRule="exact" w:line="230" w:before="58" w:after="0"/>
        <w:ind w:right="7" w:firstLine="194"/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!ВНИМАНИЕ: В соответствии с нормами Федерального закона от 23.02.2013 ФЗ №15  «Об охране здоровья граждан от воздействия окружающего табачного дыма, последствий потребления табака или потребления никотинсодержащей продукции» </w:t>
      </w:r>
    </w:p>
    <w:p>
      <w:pPr>
        <w:pStyle w:val="Normal"/>
        <w:spacing w:lineRule="exact" w:line="230" w:before="58" w:after="0"/>
        <w:ind w:right="7" w:firstLine="19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КУРЕНИЕ ТАБАЧНЫХ ИЗДЕЛИЙ НА ТЕРРИТОРИИ И В ПОМЕЩЕНИЯХ КЛИНИКИ ЗАПРЕЩАЕТСЯ!!!</w:t>
      </w:r>
    </w:p>
    <w:p>
      <w:pPr>
        <w:pStyle w:val="Normal"/>
        <w:spacing w:lineRule="exact" w:line="230" w:before="58" w:after="0"/>
        <w:ind w:right="7" w:firstLine="19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720" w:right="720" w:gutter="0" w:header="0" w:top="624" w:footer="0" w:bottom="62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338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1b3388"/>
    <w:rPr>
      <w:rFonts w:ascii="Tahoma" w:hAnsi="Tahoma" w:eastAsia="Times New Roman" w:cs="Tahoma"/>
      <w:sz w:val="16"/>
      <w:szCs w:val="16"/>
      <w:lang w:eastAsia="ru-RU"/>
    </w:rPr>
  </w:style>
  <w:style w:type="character" w:styleId="-">
    <w:name w:val="Hyperlink"/>
    <w:basedOn w:val="DefaultParagraphFont"/>
    <w:uiPriority w:val="99"/>
    <w:unhideWhenUsed/>
    <w:rsid w:val="00314c5f"/>
    <w:rPr>
      <w:color w:val="0000FF" w:themeColor="hyperlink"/>
      <w:u w:val="single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56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rsid w:val="001b3388"/>
    <w:pPr/>
    <w:rPr>
      <w:rFonts w:ascii="Tahoma" w:hAnsi="Tahoma" w:cs="Tahoma"/>
      <w:sz w:val="16"/>
      <w:szCs w:val="16"/>
    </w:rPr>
  </w:style>
  <w:style w:type="paragraph" w:styleId="Style20" w:customStyle="1">
    <w:name w:val="Содержимое врезки"/>
    <w:basedOn w:val="Normal"/>
    <w:qFormat/>
    <w:pPr/>
    <w:rPr/>
  </w:style>
  <w:style w:type="paragraph" w:styleId="ListParagraph">
    <w:name w:val="List Paragraph"/>
    <w:basedOn w:val="Normal"/>
    <w:uiPriority w:val="34"/>
    <w:qFormat/>
    <w:rsid w:val="006c19aa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pimunn-clinika.ru/" TargetMode="External"/><Relationship Id="rId4" Type="http://schemas.openxmlformats.org/officeDocument/2006/relationships/hyperlink" Target="https://pimunn-clinika.ru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LibreOffice/7.5.5.2$Windows_X86_64 LibreOffice_project/ca8fe7424262805f223b9a2334bc7181abbcbf5e</Application>
  <AppVersion>15.0000</AppVersion>
  <Pages>3</Pages>
  <Words>1246</Words>
  <Characters>8695</Characters>
  <CharactersWithSpaces>9819</CharactersWithSpaces>
  <Paragraphs>150</Paragraphs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2024-10-02T10:17:00Z</dcterms:created>
  <dc:creator>Здобнова Валентина Васильевна</dc:creator>
  <dc:description/>
  <dc:language>ru-RU</dc:language>
  <cp:lastModifiedBy/>
  <cp:lastPrinted>2024-05-13T12:32:00Z</cp:lastPrinted>
  <dcterms:modified xsi:type="dcterms:W3CDTF">2025-04-24T10:52:02Z</dcterms:modified>
  <cp:revision>12</cp:revision>
  <dc:subject/>
  <dc:title>Постановление Главного государственного санитарного врача РФ от 28.01.2021 N 4(ред. от 25.05.2022)"Об утверждении санитарных правил и норм СанПиН 3.3686-21 "Санитарно-эпидемиологические требования по профилактике инфекционных болезней"(вместе с "СанПиН 3.3686-21. Санитарные правила и нормы...")(Зарегистрировано в Минюсте России 15.02.2021 N 62500)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